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23F" w:rsidRDefault="0018223F">
      <w:pPr>
        <w:spacing w:line="520" w:lineRule="exact"/>
        <w:jc w:val="center"/>
        <w:rPr>
          <w:rFonts w:ascii="宋体" w:eastAsia="宋体" w:hAnsi="宋体" w:cs="Times New Roman"/>
          <w:b/>
          <w:bCs/>
          <w:sz w:val="44"/>
          <w:szCs w:val="44"/>
        </w:rPr>
      </w:pPr>
      <w:r>
        <w:rPr>
          <w:rFonts w:ascii="宋体" w:eastAsia="宋体" w:hAnsi="宋体" w:cs="宋体"/>
          <w:b/>
          <w:bCs/>
          <w:sz w:val="44"/>
          <w:szCs w:val="44"/>
        </w:rPr>
        <w:t>2019</w:t>
      </w:r>
      <w:r>
        <w:rPr>
          <w:rFonts w:ascii="宋体" w:eastAsia="宋体" w:hAnsi="宋体" w:cs="宋体" w:hint="eastAsia"/>
          <w:b/>
          <w:bCs/>
          <w:sz w:val="44"/>
          <w:szCs w:val="44"/>
        </w:rPr>
        <w:t>年度湖南省社会主义学院系统</w:t>
      </w:r>
    </w:p>
    <w:p w:rsidR="0018223F" w:rsidRDefault="0018223F">
      <w:pPr>
        <w:spacing w:line="520" w:lineRule="exact"/>
        <w:jc w:val="center"/>
        <w:rPr>
          <w:rFonts w:ascii="宋体" w:eastAsia="宋体" w:hAnsi="宋体" w:cs="Times New Roman"/>
          <w:b/>
          <w:bCs/>
          <w:sz w:val="44"/>
          <w:szCs w:val="44"/>
        </w:rPr>
      </w:pPr>
      <w:r>
        <w:rPr>
          <w:rFonts w:ascii="宋体" w:eastAsia="宋体" w:hAnsi="宋体" w:cs="宋体" w:hint="eastAsia"/>
          <w:b/>
          <w:bCs/>
          <w:sz w:val="44"/>
          <w:szCs w:val="44"/>
        </w:rPr>
        <w:t>招标课题指南</w:t>
      </w:r>
    </w:p>
    <w:p w:rsidR="0018223F" w:rsidRDefault="0018223F" w:rsidP="008E0DE9">
      <w:pPr>
        <w:spacing w:line="588" w:lineRule="exact"/>
        <w:ind w:firstLineChars="200" w:firstLine="31680"/>
        <w:rPr>
          <w:rFonts w:ascii="楷体" w:eastAsia="楷体" w:hAnsi="楷体" w:cs="Times New Roman"/>
          <w:sz w:val="28"/>
          <w:szCs w:val="28"/>
        </w:rPr>
      </w:pPr>
    </w:p>
    <w:p w:rsidR="0018223F" w:rsidRDefault="0018223F" w:rsidP="008E0DE9">
      <w:pPr>
        <w:spacing w:line="360" w:lineRule="auto"/>
        <w:ind w:firstLineChars="200" w:firstLine="31680"/>
        <w:rPr>
          <w:rFonts w:ascii="宋体" w:eastAsia="宋体" w:hAnsi="宋体" w:cs="Times New Roman"/>
          <w:sz w:val="28"/>
          <w:szCs w:val="28"/>
        </w:rPr>
      </w:pPr>
      <w:r>
        <w:rPr>
          <w:rFonts w:ascii="宋体" w:eastAsia="宋体" w:hAnsi="宋体" w:cs="宋体" w:hint="eastAsia"/>
          <w:sz w:val="28"/>
          <w:szCs w:val="28"/>
        </w:rPr>
        <w:t>党的十八大以来</w:t>
      </w:r>
      <w:bookmarkStart w:id="0" w:name="_GoBack"/>
      <w:bookmarkEnd w:id="0"/>
      <w:r>
        <w:rPr>
          <w:rFonts w:ascii="宋体" w:eastAsia="宋体" w:hAnsi="宋体" w:cs="宋体" w:hint="eastAsia"/>
          <w:sz w:val="28"/>
          <w:szCs w:val="28"/>
        </w:rPr>
        <w:t>，以习近平同志为核心的党中央高度重视统战工作，召开一系列重要会议，出台一系列法规文件，从治国理政的高度对统一战线工作进行了密集部署。特别是习近平总书记就统一战线发表系列重要讲话，提出一系列新理念新思想新战略，成为习近平新时代中国特色社会主义思想的重要组成部分。党的十九大把巩固和发展最广泛的爱国统一战线纳入新时代坚持和发展中国特色社会主义的基本方略，进一步丰富发展了党的统一战线理论，为新时代统一战线发展提供了根本遵循。我们要深入学习贯彻习近平总书记关于加强和改进新时代统一战线工作的重要思想，做到学思用贯通、知信行合一，推动各领域统战工作创新发展。</w:t>
      </w:r>
    </w:p>
    <w:p w:rsidR="0018223F" w:rsidRDefault="0018223F">
      <w:pPr>
        <w:spacing w:line="360" w:lineRule="auto"/>
        <w:rPr>
          <w:rFonts w:ascii="宋体" w:eastAsia="宋体" w:hAnsi="宋体" w:cs="Times New Roman"/>
          <w:sz w:val="28"/>
          <w:szCs w:val="28"/>
        </w:rPr>
      </w:pPr>
      <w:r>
        <w:rPr>
          <w:rFonts w:ascii="宋体" w:eastAsia="宋体" w:hAnsi="宋体" w:cs="宋体" w:hint="eastAsia"/>
          <w:b/>
          <w:bCs/>
          <w:sz w:val="28"/>
          <w:szCs w:val="28"/>
        </w:rPr>
        <w:t>研究方向：</w:t>
      </w:r>
      <w:r>
        <w:rPr>
          <w:rFonts w:ascii="宋体" w:eastAsia="宋体" w:hAnsi="宋体" w:cs="宋体" w:hint="eastAsia"/>
          <w:sz w:val="28"/>
          <w:szCs w:val="28"/>
        </w:rPr>
        <w:t>习近平总书记关于加强和改进统一战线工作的重要思想</w:t>
      </w:r>
    </w:p>
    <w:p w:rsidR="0018223F" w:rsidRDefault="0018223F">
      <w:pPr>
        <w:spacing w:line="360" w:lineRule="auto"/>
        <w:rPr>
          <w:rFonts w:ascii="宋体" w:eastAsia="宋体" w:hAnsi="宋体" w:cs="Times New Roman"/>
          <w:b/>
          <w:bCs/>
          <w:sz w:val="28"/>
          <w:szCs w:val="28"/>
        </w:rPr>
      </w:pPr>
      <w:r>
        <w:rPr>
          <w:rFonts w:ascii="宋体" w:eastAsia="宋体" w:hAnsi="宋体" w:cs="宋体" w:hint="eastAsia"/>
          <w:b/>
          <w:bCs/>
          <w:sz w:val="28"/>
          <w:szCs w:val="28"/>
        </w:rPr>
        <w:t>参考选题：</w:t>
      </w:r>
    </w:p>
    <w:p w:rsidR="0018223F" w:rsidRDefault="0018223F">
      <w:pPr>
        <w:spacing w:line="360" w:lineRule="auto"/>
        <w:rPr>
          <w:rFonts w:ascii="宋体" w:eastAsia="宋体" w:hAnsi="宋体" w:cs="Times New Roman"/>
          <w:sz w:val="28"/>
          <w:szCs w:val="28"/>
        </w:rPr>
      </w:pPr>
      <w:r>
        <w:rPr>
          <w:rFonts w:ascii="宋体" w:eastAsia="宋体" w:hAnsi="宋体" w:cs="宋体"/>
          <w:sz w:val="28"/>
          <w:szCs w:val="28"/>
        </w:rPr>
        <w:t>1</w:t>
      </w:r>
      <w:r>
        <w:rPr>
          <w:rFonts w:ascii="宋体" w:eastAsia="宋体" w:hAnsi="宋体" w:cs="宋体" w:hint="eastAsia"/>
          <w:sz w:val="28"/>
          <w:szCs w:val="28"/>
        </w:rPr>
        <w:t>、习近平统战思想的形成与发展研究</w:t>
      </w:r>
    </w:p>
    <w:p w:rsidR="0018223F" w:rsidRDefault="0018223F">
      <w:pPr>
        <w:spacing w:line="360" w:lineRule="auto"/>
        <w:rPr>
          <w:rFonts w:ascii="宋体" w:eastAsia="宋体" w:hAnsi="宋体" w:cs="Times New Roman"/>
          <w:sz w:val="28"/>
          <w:szCs w:val="28"/>
        </w:rPr>
      </w:pPr>
      <w:r>
        <w:rPr>
          <w:rFonts w:ascii="宋体" w:eastAsia="宋体" w:hAnsi="宋体" w:cs="宋体"/>
          <w:sz w:val="28"/>
          <w:szCs w:val="28"/>
        </w:rPr>
        <w:t>2</w:t>
      </w:r>
      <w:r>
        <w:rPr>
          <w:rFonts w:ascii="宋体" w:eastAsia="宋体" w:hAnsi="宋体" w:cs="宋体" w:hint="eastAsia"/>
          <w:sz w:val="28"/>
          <w:szCs w:val="28"/>
        </w:rPr>
        <w:t>、习近平统战思想内容、特征研究</w:t>
      </w:r>
    </w:p>
    <w:p w:rsidR="0018223F" w:rsidRDefault="0018223F">
      <w:pPr>
        <w:spacing w:line="360" w:lineRule="auto"/>
        <w:rPr>
          <w:rFonts w:ascii="宋体" w:eastAsia="宋体" w:hAnsi="宋体" w:cs="Times New Roman"/>
          <w:sz w:val="28"/>
          <w:szCs w:val="28"/>
        </w:rPr>
      </w:pPr>
      <w:r>
        <w:rPr>
          <w:rFonts w:ascii="宋体" w:eastAsia="宋体" w:hAnsi="宋体" w:cs="宋体"/>
          <w:sz w:val="28"/>
          <w:szCs w:val="28"/>
        </w:rPr>
        <w:t>3</w:t>
      </w:r>
      <w:r>
        <w:rPr>
          <w:rFonts w:ascii="宋体" w:eastAsia="宋体" w:hAnsi="宋体" w:cs="宋体" w:hint="eastAsia"/>
          <w:sz w:val="28"/>
          <w:szCs w:val="28"/>
        </w:rPr>
        <w:t>、习近平对中国共产党统战思想的继承与发展研究</w:t>
      </w:r>
    </w:p>
    <w:p w:rsidR="0018223F" w:rsidRDefault="0018223F">
      <w:pPr>
        <w:spacing w:line="360" w:lineRule="auto"/>
        <w:rPr>
          <w:rFonts w:ascii="宋体" w:eastAsia="宋体" w:hAnsi="宋体" w:cs="Times New Roman"/>
          <w:sz w:val="28"/>
          <w:szCs w:val="28"/>
        </w:rPr>
      </w:pPr>
      <w:r>
        <w:rPr>
          <w:rFonts w:ascii="宋体" w:eastAsia="宋体" w:hAnsi="宋体" w:cs="宋体"/>
          <w:sz w:val="28"/>
          <w:szCs w:val="28"/>
        </w:rPr>
        <w:t>4</w:t>
      </w:r>
      <w:r>
        <w:rPr>
          <w:rFonts w:ascii="宋体" w:eastAsia="宋体" w:hAnsi="宋体" w:cs="宋体" w:hint="eastAsia"/>
          <w:sz w:val="28"/>
          <w:szCs w:val="28"/>
        </w:rPr>
        <w:t>、习近平新型政党制度思想研究</w:t>
      </w:r>
    </w:p>
    <w:p w:rsidR="0018223F" w:rsidRDefault="0018223F">
      <w:pPr>
        <w:spacing w:line="360" w:lineRule="auto"/>
        <w:rPr>
          <w:rFonts w:ascii="宋体" w:eastAsia="宋体" w:hAnsi="宋体" w:cs="Times New Roman"/>
          <w:sz w:val="28"/>
          <w:szCs w:val="28"/>
        </w:rPr>
      </w:pPr>
      <w:r>
        <w:rPr>
          <w:rFonts w:ascii="宋体" w:eastAsia="宋体" w:hAnsi="宋体" w:cs="宋体"/>
          <w:sz w:val="28"/>
          <w:szCs w:val="28"/>
        </w:rPr>
        <w:t>5</w:t>
      </w:r>
      <w:r>
        <w:rPr>
          <w:rFonts w:ascii="宋体" w:eastAsia="宋体" w:hAnsi="宋体" w:cs="宋体" w:hint="eastAsia"/>
          <w:sz w:val="28"/>
          <w:szCs w:val="28"/>
        </w:rPr>
        <w:t>、习近平政党协商思想研究</w:t>
      </w:r>
    </w:p>
    <w:p w:rsidR="0018223F" w:rsidRDefault="0018223F">
      <w:pPr>
        <w:spacing w:line="360" w:lineRule="auto"/>
        <w:rPr>
          <w:rFonts w:ascii="宋体" w:eastAsia="宋体" w:hAnsi="宋体" w:cs="Times New Roman"/>
          <w:sz w:val="28"/>
          <w:szCs w:val="28"/>
        </w:rPr>
      </w:pPr>
      <w:r>
        <w:rPr>
          <w:rFonts w:ascii="宋体" w:eastAsia="宋体" w:hAnsi="宋体" w:cs="宋体"/>
          <w:sz w:val="28"/>
          <w:szCs w:val="28"/>
        </w:rPr>
        <w:t>6</w:t>
      </w:r>
      <w:r>
        <w:rPr>
          <w:rFonts w:ascii="宋体" w:eastAsia="宋体" w:hAnsi="宋体" w:cs="宋体" w:hint="eastAsia"/>
          <w:sz w:val="28"/>
          <w:szCs w:val="28"/>
        </w:rPr>
        <w:t>、习近平关于中国特色社会主义参政党建设思想研究</w:t>
      </w:r>
    </w:p>
    <w:p w:rsidR="0018223F" w:rsidRDefault="0018223F">
      <w:pPr>
        <w:spacing w:line="360" w:lineRule="auto"/>
        <w:rPr>
          <w:rFonts w:ascii="宋体" w:eastAsia="宋体" w:hAnsi="宋体" w:cs="Times New Roman"/>
          <w:sz w:val="28"/>
          <w:szCs w:val="28"/>
        </w:rPr>
      </w:pPr>
      <w:r>
        <w:rPr>
          <w:rFonts w:ascii="宋体" w:eastAsia="宋体" w:hAnsi="宋体" w:cs="宋体"/>
          <w:sz w:val="28"/>
          <w:szCs w:val="28"/>
        </w:rPr>
        <w:t>7</w:t>
      </w:r>
      <w:r>
        <w:rPr>
          <w:rFonts w:ascii="宋体" w:eastAsia="宋体" w:hAnsi="宋体" w:cs="宋体" w:hint="eastAsia"/>
          <w:sz w:val="28"/>
          <w:szCs w:val="28"/>
        </w:rPr>
        <w:t>、习近平关于民主党派民主监督的重要思想研究</w:t>
      </w:r>
    </w:p>
    <w:p w:rsidR="0018223F" w:rsidRDefault="0018223F">
      <w:pPr>
        <w:spacing w:line="360" w:lineRule="auto"/>
        <w:rPr>
          <w:rFonts w:ascii="宋体" w:eastAsia="宋体" w:hAnsi="宋体" w:cs="Times New Roman"/>
          <w:sz w:val="28"/>
          <w:szCs w:val="28"/>
        </w:rPr>
      </w:pPr>
      <w:r>
        <w:rPr>
          <w:rFonts w:ascii="宋体" w:eastAsia="宋体" w:hAnsi="宋体" w:cs="宋体"/>
          <w:sz w:val="28"/>
          <w:szCs w:val="28"/>
        </w:rPr>
        <w:t>8</w:t>
      </w:r>
      <w:r>
        <w:rPr>
          <w:rFonts w:ascii="宋体" w:eastAsia="宋体" w:hAnsi="宋体" w:cs="宋体" w:hint="eastAsia"/>
          <w:sz w:val="28"/>
          <w:szCs w:val="28"/>
        </w:rPr>
        <w:t>、习近平党外知识分子工作思想研究</w:t>
      </w:r>
    </w:p>
    <w:p w:rsidR="0018223F" w:rsidRDefault="0018223F">
      <w:pPr>
        <w:spacing w:line="360" w:lineRule="auto"/>
        <w:rPr>
          <w:rFonts w:ascii="宋体" w:eastAsia="宋体" w:hAnsi="宋体" w:cs="Times New Roman"/>
          <w:sz w:val="28"/>
          <w:szCs w:val="28"/>
        </w:rPr>
      </w:pPr>
      <w:r>
        <w:rPr>
          <w:rFonts w:ascii="宋体" w:eastAsia="宋体" w:hAnsi="宋体" w:cs="宋体"/>
          <w:sz w:val="28"/>
          <w:szCs w:val="28"/>
        </w:rPr>
        <w:t>9</w:t>
      </w:r>
      <w:r>
        <w:rPr>
          <w:rFonts w:ascii="宋体" w:eastAsia="宋体" w:hAnsi="宋体" w:cs="宋体" w:hint="eastAsia"/>
          <w:sz w:val="28"/>
          <w:szCs w:val="28"/>
        </w:rPr>
        <w:t>、习近平关于新的社会阶层人士统战工作思想研究</w:t>
      </w:r>
    </w:p>
    <w:p w:rsidR="0018223F" w:rsidRDefault="0018223F">
      <w:pPr>
        <w:spacing w:line="360" w:lineRule="auto"/>
        <w:rPr>
          <w:rFonts w:ascii="宋体" w:eastAsia="宋体" w:hAnsi="宋体" w:cs="Times New Roman"/>
          <w:sz w:val="28"/>
          <w:szCs w:val="28"/>
        </w:rPr>
      </w:pPr>
      <w:r>
        <w:rPr>
          <w:rFonts w:ascii="宋体" w:eastAsia="宋体" w:hAnsi="宋体" w:cs="宋体"/>
          <w:sz w:val="28"/>
          <w:szCs w:val="28"/>
        </w:rPr>
        <w:t>10</w:t>
      </w:r>
      <w:r>
        <w:rPr>
          <w:rFonts w:ascii="宋体" w:eastAsia="宋体" w:hAnsi="宋体" w:cs="宋体" w:hint="eastAsia"/>
          <w:sz w:val="28"/>
          <w:szCs w:val="28"/>
        </w:rPr>
        <w:t>、习近平关于网络统战工作的重要思想研究</w:t>
      </w:r>
    </w:p>
    <w:p w:rsidR="0018223F" w:rsidRDefault="0018223F">
      <w:pPr>
        <w:spacing w:line="360" w:lineRule="auto"/>
        <w:rPr>
          <w:rFonts w:ascii="宋体" w:eastAsia="宋体" w:hAnsi="宋体" w:cs="Times New Roman"/>
          <w:sz w:val="28"/>
          <w:szCs w:val="28"/>
        </w:rPr>
      </w:pPr>
      <w:r>
        <w:rPr>
          <w:rFonts w:ascii="宋体" w:eastAsia="宋体" w:hAnsi="宋体" w:cs="宋体"/>
          <w:sz w:val="28"/>
          <w:szCs w:val="28"/>
        </w:rPr>
        <w:t>11</w:t>
      </w:r>
      <w:r>
        <w:rPr>
          <w:rFonts w:ascii="宋体" w:eastAsia="宋体" w:hAnsi="宋体" w:cs="宋体" w:hint="eastAsia"/>
          <w:sz w:val="28"/>
          <w:szCs w:val="28"/>
        </w:rPr>
        <w:t>、习近平关于非公经济领域“两个健康”思想研究</w:t>
      </w:r>
    </w:p>
    <w:p w:rsidR="0018223F" w:rsidRDefault="0018223F">
      <w:pPr>
        <w:spacing w:line="360" w:lineRule="auto"/>
        <w:rPr>
          <w:rFonts w:ascii="宋体" w:eastAsia="宋体" w:hAnsi="宋体" w:cs="Times New Roman"/>
          <w:sz w:val="28"/>
          <w:szCs w:val="28"/>
        </w:rPr>
      </w:pPr>
      <w:r>
        <w:rPr>
          <w:rFonts w:ascii="宋体" w:eastAsia="宋体" w:hAnsi="宋体" w:cs="宋体"/>
          <w:sz w:val="28"/>
          <w:szCs w:val="28"/>
        </w:rPr>
        <w:t>12</w:t>
      </w:r>
      <w:r>
        <w:rPr>
          <w:rFonts w:ascii="宋体" w:eastAsia="宋体" w:hAnsi="宋体" w:cs="宋体" w:hint="eastAsia"/>
          <w:sz w:val="28"/>
          <w:szCs w:val="28"/>
        </w:rPr>
        <w:t>、习近平“亲清”政商关系思想研究</w:t>
      </w:r>
    </w:p>
    <w:p w:rsidR="0018223F" w:rsidRDefault="0018223F">
      <w:pPr>
        <w:spacing w:line="360" w:lineRule="auto"/>
        <w:rPr>
          <w:rFonts w:ascii="宋体" w:eastAsia="宋体" w:hAnsi="宋体" w:cs="Times New Roman"/>
          <w:sz w:val="28"/>
          <w:szCs w:val="28"/>
        </w:rPr>
      </w:pPr>
      <w:r>
        <w:rPr>
          <w:rFonts w:ascii="宋体" w:eastAsia="宋体" w:hAnsi="宋体" w:cs="宋体"/>
          <w:sz w:val="28"/>
          <w:szCs w:val="28"/>
        </w:rPr>
        <w:t>13</w:t>
      </w:r>
      <w:r>
        <w:rPr>
          <w:rFonts w:ascii="宋体" w:eastAsia="宋体" w:hAnsi="宋体" w:cs="宋体" w:hint="eastAsia"/>
          <w:sz w:val="28"/>
          <w:szCs w:val="28"/>
        </w:rPr>
        <w:t>、习近平民族工作思想研究</w:t>
      </w:r>
    </w:p>
    <w:p w:rsidR="0018223F" w:rsidRDefault="0018223F">
      <w:pPr>
        <w:spacing w:line="360" w:lineRule="auto"/>
        <w:rPr>
          <w:rFonts w:ascii="宋体" w:eastAsia="宋体" w:hAnsi="宋体" w:cs="Times New Roman"/>
          <w:sz w:val="28"/>
          <w:szCs w:val="28"/>
        </w:rPr>
      </w:pPr>
      <w:r>
        <w:rPr>
          <w:rFonts w:ascii="宋体" w:eastAsia="宋体" w:hAnsi="宋体" w:cs="宋体"/>
          <w:sz w:val="28"/>
          <w:szCs w:val="28"/>
        </w:rPr>
        <w:t>14</w:t>
      </w:r>
      <w:r>
        <w:rPr>
          <w:rFonts w:ascii="宋体" w:eastAsia="宋体" w:hAnsi="宋体" w:cs="宋体" w:hint="eastAsia"/>
          <w:sz w:val="28"/>
          <w:szCs w:val="28"/>
        </w:rPr>
        <w:t>、习近平宗教工作思想研究</w:t>
      </w:r>
    </w:p>
    <w:p w:rsidR="0018223F" w:rsidRDefault="0018223F">
      <w:pPr>
        <w:spacing w:line="360" w:lineRule="auto"/>
        <w:rPr>
          <w:rFonts w:ascii="宋体" w:eastAsia="宋体" w:hAnsi="宋体" w:cs="Times New Roman"/>
          <w:sz w:val="28"/>
          <w:szCs w:val="28"/>
        </w:rPr>
      </w:pPr>
      <w:r>
        <w:rPr>
          <w:rFonts w:ascii="宋体" w:eastAsia="宋体" w:hAnsi="宋体" w:cs="宋体"/>
          <w:sz w:val="28"/>
          <w:szCs w:val="28"/>
        </w:rPr>
        <w:t>15</w:t>
      </w:r>
      <w:r>
        <w:rPr>
          <w:rFonts w:ascii="宋体" w:eastAsia="宋体" w:hAnsi="宋体" w:cs="宋体" w:hint="eastAsia"/>
          <w:sz w:val="28"/>
          <w:szCs w:val="28"/>
        </w:rPr>
        <w:t>、习近平海外统战思想研究</w:t>
      </w:r>
    </w:p>
    <w:p w:rsidR="0018223F" w:rsidRDefault="0018223F">
      <w:pPr>
        <w:spacing w:line="360" w:lineRule="auto"/>
        <w:rPr>
          <w:rFonts w:ascii="宋体" w:eastAsia="宋体" w:hAnsi="宋体" w:cs="Times New Roman"/>
          <w:sz w:val="28"/>
          <w:szCs w:val="28"/>
        </w:rPr>
      </w:pPr>
      <w:r>
        <w:rPr>
          <w:rFonts w:ascii="宋体" w:eastAsia="宋体" w:hAnsi="宋体" w:cs="宋体"/>
          <w:sz w:val="28"/>
          <w:szCs w:val="28"/>
        </w:rPr>
        <w:t>16</w:t>
      </w:r>
      <w:r>
        <w:rPr>
          <w:rFonts w:ascii="宋体" w:eastAsia="宋体" w:hAnsi="宋体" w:cs="宋体" w:hint="eastAsia"/>
          <w:sz w:val="28"/>
          <w:szCs w:val="28"/>
        </w:rPr>
        <w:t>、习近平关于党外代表人士队伍建设思想研究</w:t>
      </w:r>
    </w:p>
    <w:p w:rsidR="0018223F" w:rsidRDefault="0018223F">
      <w:pPr>
        <w:spacing w:line="360" w:lineRule="auto"/>
        <w:rPr>
          <w:rFonts w:ascii="宋体" w:eastAsia="宋体" w:hAnsi="宋体" w:cs="Times New Roman"/>
          <w:sz w:val="28"/>
          <w:szCs w:val="28"/>
        </w:rPr>
      </w:pPr>
      <w:r>
        <w:rPr>
          <w:rFonts w:ascii="宋体" w:eastAsia="宋体" w:hAnsi="宋体" w:cs="宋体"/>
          <w:sz w:val="28"/>
          <w:szCs w:val="28"/>
        </w:rPr>
        <w:t>17</w:t>
      </w:r>
      <w:r>
        <w:rPr>
          <w:rFonts w:ascii="宋体" w:eastAsia="宋体" w:hAnsi="宋体" w:cs="宋体" w:hint="eastAsia"/>
          <w:sz w:val="28"/>
          <w:szCs w:val="28"/>
        </w:rPr>
        <w:t>、习近平关于加强党对统一战线工作的领导思想研究</w:t>
      </w:r>
    </w:p>
    <w:p w:rsidR="0018223F" w:rsidRDefault="0018223F">
      <w:pPr>
        <w:spacing w:line="360" w:lineRule="auto"/>
        <w:rPr>
          <w:rFonts w:ascii="宋体" w:eastAsia="宋体" w:hAnsi="宋体" w:cs="Times New Roman"/>
          <w:sz w:val="28"/>
          <w:szCs w:val="28"/>
        </w:rPr>
      </w:pPr>
      <w:r>
        <w:rPr>
          <w:rFonts w:ascii="宋体" w:eastAsia="宋体" w:hAnsi="宋体" w:cs="宋体"/>
          <w:sz w:val="28"/>
          <w:szCs w:val="28"/>
        </w:rPr>
        <w:t>18</w:t>
      </w:r>
      <w:r>
        <w:rPr>
          <w:rFonts w:ascii="宋体" w:eastAsia="宋体" w:hAnsi="宋体" w:cs="宋体" w:hint="eastAsia"/>
          <w:sz w:val="28"/>
          <w:szCs w:val="28"/>
        </w:rPr>
        <w:t>、习近平人民政协思想研究</w:t>
      </w:r>
    </w:p>
    <w:p w:rsidR="0018223F" w:rsidRDefault="0018223F">
      <w:pPr>
        <w:spacing w:line="360" w:lineRule="auto"/>
        <w:rPr>
          <w:rFonts w:ascii="宋体" w:eastAsia="宋体" w:hAnsi="宋体" w:cs="Times New Roman"/>
          <w:sz w:val="28"/>
          <w:szCs w:val="28"/>
        </w:rPr>
      </w:pPr>
      <w:r>
        <w:rPr>
          <w:rFonts w:ascii="宋体" w:eastAsia="宋体" w:hAnsi="宋体" w:cs="宋体"/>
          <w:sz w:val="28"/>
          <w:szCs w:val="28"/>
        </w:rPr>
        <w:t>19</w:t>
      </w:r>
      <w:r>
        <w:rPr>
          <w:rFonts w:ascii="宋体" w:eastAsia="宋体" w:hAnsi="宋体" w:cs="宋体" w:hint="eastAsia"/>
          <w:sz w:val="28"/>
          <w:szCs w:val="28"/>
        </w:rPr>
        <w:t>、习近平协商民主思想研究</w:t>
      </w:r>
    </w:p>
    <w:p w:rsidR="0018223F" w:rsidRDefault="0018223F">
      <w:pPr>
        <w:spacing w:line="360" w:lineRule="auto"/>
        <w:rPr>
          <w:rFonts w:ascii="宋体" w:eastAsia="宋体" w:hAnsi="宋体" w:cs="Times New Roman"/>
          <w:sz w:val="28"/>
          <w:szCs w:val="28"/>
        </w:rPr>
      </w:pPr>
      <w:r>
        <w:rPr>
          <w:rFonts w:ascii="宋体" w:eastAsia="宋体" w:hAnsi="宋体" w:cs="宋体"/>
          <w:sz w:val="28"/>
          <w:szCs w:val="28"/>
        </w:rPr>
        <w:t>20</w:t>
      </w:r>
      <w:r>
        <w:rPr>
          <w:rFonts w:ascii="宋体" w:eastAsia="宋体" w:hAnsi="宋体" w:cs="宋体" w:hint="eastAsia"/>
          <w:sz w:val="28"/>
          <w:szCs w:val="28"/>
        </w:rPr>
        <w:t>、习近平文化统战思想研究</w:t>
      </w:r>
    </w:p>
    <w:sectPr w:rsidR="0018223F" w:rsidSect="00B55F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楷体">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463F"/>
    <w:rsid w:val="000363AB"/>
    <w:rsid w:val="000A36C7"/>
    <w:rsid w:val="0018223F"/>
    <w:rsid w:val="006A45F2"/>
    <w:rsid w:val="006D7033"/>
    <w:rsid w:val="007661C7"/>
    <w:rsid w:val="007B3C44"/>
    <w:rsid w:val="00843E5A"/>
    <w:rsid w:val="008E0DE9"/>
    <w:rsid w:val="009332D3"/>
    <w:rsid w:val="009A764D"/>
    <w:rsid w:val="00A4260A"/>
    <w:rsid w:val="00A71C1B"/>
    <w:rsid w:val="00A9490F"/>
    <w:rsid w:val="00AC340C"/>
    <w:rsid w:val="00B55FB7"/>
    <w:rsid w:val="00B85F08"/>
    <w:rsid w:val="00D37E66"/>
    <w:rsid w:val="00D94276"/>
    <w:rsid w:val="00EB2A7C"/>
    <w:rsid w:val="00F9463F"/>
    <w:rsid w:val="111C228D"/>
    <w:rsid w:val="14E5654C"/>
    <w:rsid w:val="185700F3"/>
    <w:rsid w:val="1CFF68C3"/>
    <w:rsid w:val="39F63C21"/>
    <w:rsid w:val="3F8269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FB7"/>
    <w:pPr>
      <w:widowControl w:val="0"/>
      <w:jc w:val="both"/>
    </w:pPr>
    <w:rPr>
      <w:rFonts w:ascii="楷体_GB2312" w:eastAsia="楷体_GB2312" w:cs="楷体_GB2312"/>
      <w:color w:val="000000"/>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55FB7"/>
    <w:rPr>
      <w:sz w:val="18"/>
      <w:szCs w:val="18"/>
    </w:rPr>
  </w:style>
  <w:style w:type="character" w:customStyle="1" w:styleId="BalloonTextChar">
    <w:name w:val="Balloon Text Char"/>
    <w:basedOn w:val="DefaultParagraphFont"/>
    <w:link w:val="BalloonText"/>
    <w:uiPriority w:val="99"/>
    <w:semiHidden/>
    <w:locked/>
    <w:rsid w:val="00B55FB7"/>
    <w:rPr>
      <w:rFonts w:ascii="楷体_GB2312" w:eastAsia="楷体_GB2312" w:hAnsi="Times New Roman" w:cs="楷体_GB2312"/>
      <w:color w:val="000000"/>
      <w:sz w:val="18"/>
      <w:szCs w:val="18"/>
    </w:rPr>
  </w:style>
  <w:style w:type="paragraph" w:styleId="Footer">
    <w:name w:val="footer"/>
    <w:basedOn w:val="Normal"/>
    <w:link w:val="FooterChar"/>
    <w:uiPriority w:val="99"/>
    <w:rsid w:val="00B55FB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55FB7"/>
    <w:rPr>
      <w:rFonts w:ascii="楷体_GB2312" w:eastAsia="楷体_GB2312" w:hAnsi="Times New Roman" w:cs="楷体_GB2312"/>
      <w:color w:val="000000"/>
      <w:sz w:val="18"/>
      <w:szCs w:val="18"/>
    </w:rPr>
  </w:style>
  <w:style w:type="paragraph" w:styleId="Header">
    <w:name w:val="header"/>
    <w:basedOn w:val="Normal"/>
    <w:link w:val="HeaderChar"/>
    <w:uiPriority w:val="99"/>
    <w:rsid w:val="00B55FB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55FB7"/>
    <w:rPr>
      <w:rFonts w:ascii="楷体_GB2312" w:eastAsia="楷体_GB2312" w:hAnsi="Times New Roman" w:cs="楷体_GB2312"/>
      <w:color w:val="000000"/>
      <w:sz w:val="18"/>
      <w:szCs w:val="18"/>
    </w:rPr>
  </w:style>
  <w:style w:type="paragraph" w:styleId="NormalWeb">
    <w:name w:val="Normal (Web)"/>
    <w:basedOn w:val="Normal"/>
    <w:uiPriority w:val="99"/>
    <w:rsid w:val="00B55FB7"/>
    <w:pPr>
      <w:spacing w:beforeAutospacing="1" w:afterAutospacing="1"/>
      <w:jc w:val="left"/>
    </w:pPr>
    <w:rPr>
      <w:kern w:val="0"/>
      <w:sz w:val="24"/>
      <w:szCs w:val="24"/>
    </w:rPr>
  </w:style>
  <w:style w:type="character" w:styleId="FollowedHyperlink">
    <w:name w:val="FollowedHyperlink"/>
    <w:basedOn w:val="DefaultParagraphFont"/>
    <w:uiPriority w:val="99"/>
    <w:rsid w:val="00B55FB7"/>
    <w:rPr>
      <w:color w:val="000000"/>
      <w:u w:val="none"/>
    </w:rPr>
  </w:style>
  <w:style w:type="character" w:styleId="Hyperlink">
    <w:name w:val="Hyperlink"/>
    <w:basedOn w:val="DefaultParagraphFont"/>
    <w:uiPriority w:val="99"/>
    <w:rsid w:val="00B55FB7"/>
    <w:rPr>
      <w:color w:val="000000"/>
      <w:u w:val="none"/>
    </w:rPr>
  </w:style>
  <w:style w:type="paragraph" w:customStyle="1" w:styleId="2">
    <w:name w:val="列出段落2"/>
    <w:basedOn w:val="Normal"/>
    <w:uiPriority w:val="99"/>
    <w:rsid w:val="00B55FB7"/>
    <w:pPr>
      <w:spacing w:line="480" w:lineRule="atLeast"/>
      <w:ind w:firstLineChars="200" w:firstLine="420"/>
    </w:pPr>
    <w:rPr>
      <w:rFonts w:ascii="Calibri" w:eastAsia="宋体" w:hAnsi="Calibri" w:cs="Calibri"/>
      <w:color w:val="auto"/>
    </w:rPr>
  </w:style>
  <w:style w:type="paragraph" w:styleId="ListParagraph">
    <w:name w:val="List Paragraph"/>
    <w:basedOn w:val="Normal"/>
    <w:uiPriority w:val="99"/>
    <w:qFormat/>
    <w:rsid w:val="00B55FB7"/>
    <w:pPr>
      <w:ind w:firstLineChars="200" w:firstLine="420"/>
    </w:pPr>
  </w:style>
  <w:style w:type="character" w:customStyle="1" w:styleId="bdsmore4">
    <w:name w:val="bds_more4"/>
    <w:basedOn w:val="DefaultParagraphFont"/>
    <w:uiPriority w:val="99"/>
    <w:rsid w:val="00B55FB7"/>
  </w:style>
  <w:style w:type="character" w:customStyle="1" w:styleId="bsharetext">
    <w:name w:val="bsharetext"/>
    <w:basedOn w:val="DefaultParagraphFont"/>
    <w:uiPriority w:val="99"/>
    <w:rsid w:val="00B55FB7"/>
  </w:style>
  <w:style w:type="character" w:customStyle="1" w:styleId="refirstcol">
    <w:name w:val="refirstcol"/>
    <w:basedOn w:val="DefaultParagraphFont"/>
    <w:uiPriority w:val="99"/>
    <w:rsid w:val="00B55FB7"/>
    <w:rPr>
      <w:bdr w:val="single" w:sz="6" w:space="0" w:color="auto"/>
    </w:rPr>
  </w:style>
  <w:style w:type="character" w:customStyle="1" w:styleId="refirstcol1">
    <w:name w:val="refirstcol1"/>
    <w:basedOn w:val="DefaultParagraphFont"/>
    <w:uiPriority w:val="99"/>
    <w:rsid w:val="00B55FB7"/>
    <w:rPr>
      <w:bdr w:val="single" w:sz="6" w:space="0" w:color="auto"/>
    </w:rPr>
  </w:style>
  <w:style w:type="character" w:customStyle="1" w:styleId="database">
    <w:name w:val="database"/>
    <w:basedOn w:val="DefaultParagraphFont"/>
    <w:uiPriority w:val="99"/>
    <w:rsid w:val="00B55FB7"/>
    <w:rPr>
      <w:color w:val="auto"/>
    </w:rPr>
  </w:style>
  <w:style w:type="character" w:customStyle="1" w:styleId="database1">
    <w:name w:val="database1"/>
    <w:basedOn w:val="DefaultParagraphFont"/>
    <w:uiPriority w:val="99"/>
    <w:rsid w:val="00B55FB7"/>
    <w:rPr>
      <w:color w:val="auto"/>
    </w:rPr>
  </w:style>
  <w:style w:type="character" w:customStyle="1" w:styleId="active1">
    <w:name w:val="active1"/>
    <w:basedOn w:val="DefaultParagraphFont"/>
    <w:uiPriority w:val="99"/>
    <w:rsid w:val="00B55FB7"/>
    <w:rPr>
      <w:color w:val="auto"/>
    </w:rPr>
  </w:style>
  <w:style w:type="character" w:customStyle="1" w:styleId="reopt2">
    <w:name w:val="reopt2"/>
    <w:basedOn w:val="DefaultParagraphFont"/>
    <w:uiPriority w:val="99"/>
    <w:rsid w:val="00B55FB7"/>
  </w:style>
  <w:style w:type="character" w:customStyle="1" w:styleId="fenxiang">
    <w:name w:val="fenxiang"/>
    <w:basedOn w:val="DefaultParagraphFont"/>
    <w:uiPriority w:val="99"/>
    <w:rsid w:val="00B55FB7"/>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108</Words>
  <Characters>621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2019年度湖南省社会主义学院系统</dc:title>
  <dc:subject/>
  <dc:creator>Microsoft</dc:creator>
  <cp:keywords/>
  <dc:description/>
  <cp:lastModifiedBy>XSMking</cp:lastModifiedBy>
  <cp:revision>2</cp:revision>
  <cp:lastPrinted>2018-03-29T00:28:00Z</cp:lastPrinted>
  <dcterms:created xsi:type="dcterms:W3CDTF">2019-03-20T01:46:00Z</dcterms:created>
  <dcterms:modified xsi:type="dcterms:W3CDTF">2019-03-20T01:53:00Z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